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A602" w14:textId="77777777" w:rsidR="00120597" w:rsidRDefault="00120597" w:rsidP="00120597">
      <w:pPr>
        <w:tabs>
          <w:tab w:val="left" w:pos="600"/>
          <w:tab w:val="left" w:pos="1440"/>
        </w:tabs>
        <w:jc w:val="center"/>
        <w:rPr>
          <w:rFonts w:ascii="Old English Text MT" w:hAnsi="Old English Text MT" w:cstheme="minorHAnsi"/>
          <w:b/>
          <w:color w:val="00B050"/>
          <w:sz w:val="40"/>
          <w:szCs w:val="40"/>
        </w:rPr>
      </w:pPr>
      <w:r>
        <w:rPr>
          <w:rFonts w:ascii="Old English Text MT" w:hAnsi="Old English Text MT" w:cstheme="minorHAnsi"/>
          <w:b/>
          <w:color w:val="00B050"/>
          <w:sz w:val="40"/>
          <w:szCs w:val="40"/>
        </w:rPr>
        <w:t xml:space="preserve">WALTHAM PARISH COUNCIL </w:t>
      </w:r>
    </w:p>
    <w:p w14:paraId="04966B34" w14:textId="77777777" w:rsidR="00120597" w:rsidRDefault="00120597" w:rsidP="00120597">
      <w:pPr>
        <w:tabs>
          <w:tab w:val="left" w:pos="600"/>
          <w:tab w:val="left" w:pos="1440"/>
        </w:tabs>
        <w:jc w:val="center"/>
        <w:rPr>
          <w:rFonts w:ascii="Old English Text MT" w:hAnsi="Old English Text MT" w:cstheme="minorHAnsi"/>
          <w:b/>
          <w:color w:val="00B050"/>
          <w:sz w:val="40"/>
          <w:szCs w:val="40"/>
        </w:rPr>
      </w:pPr>
      <w:r>
        <w:rPr>
          <w:rFonts w:ascii="Old English Text MT" w:hAnsi="Old English Text MT" w:cstheme="minorHAnsi"/>
          <w:b/>
          <w:color w:val="00B050"/>
          <w:sz w:val="40"/>
          <w:szCs w:val="40"/>
        </w:rPr>
        <w:t>EST. 1894</w:t>
      </w:r>
    </w:p>
    <w:p w14:paraId="674BE7FC" w14:textId="77777777" w:rsidR="00120597" w:rsidRPr="00120597" w:rsidRDefault="00120597" w:rsidP="00120597">
      <w:pPr>
        <w:tabs>
          <w:tab w:val="left" w:pos="600"/>
          <w:tab w:val="left" w:pos="1440"/>
        </w:tabs>
        <w:jc w:val="both"/>
        <w:rPr>
          <w:rFonts w:asciiTheme="minorHAnsi" w:hAnsiTheme="minorHAnsi" w:cstheme="minorHAnsi"/>
          <w:b/>
          <w:szCs w:val="24"/>
        </w:rPr>
      </w:pPr>
    </w:p>
    <w:p w14:paraId="660F8CD8" w14:textId="77777777" w:rsidR="00120597" w:rsidRPr="00120597" w:rsidRDefault="00120597" w:rsidP="00120597">
      <w:pPr>
        <w:jc w:val="center"/>
        <w:rPr>
          <w:rFonts w:asciiTheme="minorHAnsi" w:hAnsiTheme="minorHAnsi" w:cstheme="minorHAnsi"/>
          <w:b/>
          <w:bCs/>
          <w:sz w:val="28"/>
          <w:szCs w:val="28"/>
        </w:rPr>
      </w:pPr>
      <w:r w:rsidRPr="00120597">
        <w:rPr>
          <w:rFonts w:asciiTheme="minorHAnsi" w:hAnsiTheme="minorHAnsi" w:cstheme="minorHAnsi"/>
          <w:b/>
          <w:bCs/>
          <w:sz w:val="28"/>
          <w:szCs w:val="28"/>
        </w:rPr>
        <w:t>RISK MANAGEMENT POLICY STATEMENT</w:t>
      </w:r>
    </w:p>
    <w:p w14:paraId="199B6084" w14:textId="4001169E" w:rsidR="00120597" w:rsidRDefault="00120597" w:rsidP="00120597">
      <w:pPr>
        <w:tabs>
          <w:tab w:val="left" w:pos="600"/>
          <w:tab w:val="left" w:pos="1440"/>
        </w:tabs>
        <w:jc w:val="center"/>
        <w:rPr>
          <w:rFonts w:asciiTheme="minorHAnsi" w:hAnsiTheme="minorHAnsi" w:cstheme="minorHAnsi"/>
          <w:b/>
          <w:color w:val="00B050"/>
          <w:sz w:val="28"/>
          <w:szCs w:val="28"/>
        </w:rPr>
      </w:pPr>
    </w:p>
    <w:p w14:paraId="04CD92F4" w14:textId="3EA287CB" w:rsidR="00120597" w:rsidRPr="00120597" w:rsidRDefault="00120597" w:rsidP="00120597">
      <w:pPr>
        <w:tabs>
          <w:tab w:val="left" w:pos="600"/>
          <w:tab w:val="left" w:pos="1440"/>
        </w:tabs>
        <w:rPr>
          <w:rFonts w:asciiTheme="minorHAnsi" w:hAnsiTheme="minorHAnsi" w:cstheme="minorHAnsi"/>
          <w:b/>
          <w:color w:val="00B050"/>
          <w:sz w:val="22"/>
          <w:szCs w:val="22"/>
        </w:rPr>
      </w:pPr>
      <w:r w:rsidRPr="00120597">
        <w:rPr>
          <w:rFonts w:asciiTheme="minorHAnsi" w:hAnsiTheme="minorHAnsi" w:cstheme="minorHAnsi"/>
          <w:b/>
          <w:bCs/>
          <w:szCs w:val="24"/>
        </w:rPr>
        <w:t xml:space="preserve">Adopted by full council on:      </w:t>
      </w:r>
      <w:r>
        <w:rPr>
          <w:rFonts w:asciiTheme="minorHAnsi" w:hAnsiTheme="minorHAnsi" w:cstheme="minorHAnsi"/>
          <w:b/>
          <w:bCs/>
          <w:szCs w:val="24"/>
        </w:rPr>
        <w:t>1</w:t>
      </w:r>
      <w:r w:rsidRPr="00120597">
        <w:rPr>
          <w:rFonts w:asciiTheme="minorHAnsi" w:hAnsiTheme="minorHAnsi" w:cstheme="minorHAnsi"/>
          <w:b/>
          <w:bCs/>
          <w:szCs w:val="24"/>
          <w:vertAlign w:val="superscript"/>
        </w:rPr>
        <w:t>st</w:t>
      </w:r>
      <w:r>
        <w:rPr>
          <w:rFonts w:asciiTheme="minorHAnsi" w:hAnsiTheme="minorHAnsi" w:cstheme="minorHAnsi"/>
          <w:b/>
          <w:bCs/>
          <w:szCs w:val="24"/>
        </w:rPr>
        <w:t xml:space="preserve"> March 2022                                Minute Ref:</w:t>
      </w:r>
    </w:p>
    <w:p w14:paraId="3B6EA116" w14:textId="77777777" w:rsidR="00120597" w:rsidRPr="00120597" w:rsidRDefault="00120597" w:rsidP="00120597">
      <w:pPr>
        <w:tabs>
          <w:tab w:val="left" w:pos="600"/>
          <w:tab w:val="left" w:pos="1440"/>
        </w:tabs>
        <w:jc w:val="center"/>
        <w:rPr>
          <w:rFonts w:asciiTheme="minorHAnsi" w:hAnsiTheme="minorHAnsi" w:cstheme="minorHAnsi"/>
          <w:b/>
          <w:sz w:val="28"/>
          <w:szCs w:val="28"/>
        </w:rPr>
      </w:pPr>
    </w:p>
    <w:p w14:paraId="1E26A708" w14:textId="77777777" w:rsidR="00120597" w:rsidRPr="00120597" w:rsidRDefault="00120597" w:rsidP="00120597">
      <w:pPr>
        <w:tabs>
          <w:tab w:val="left" w:pos="600"/>
          <w:tab w:val="left" w:pos="1440"/>
        </w:tabs>
        <w:rPr>
          <w:rFonts w:asciiTheme="minorHAnsi" w:hAnsiTheme="minorHAnsi" w:cstheme="minorHAnsi"/>
          <w:b/>
          <w:sz w:val="28"/>
          <w:szCs w:val="28"/>
        </w:rPr>
      </w:pPr>
      <w:r w:rsidRPr="00120597">
        <w:rPr>
          <w:rFonts w:asciiTheme="minorHAnsi" w:hAnsiTheme="minorHAnsi" w:cstheme="minorHAnsi"/>
          <w:b/>
          <w:szCs w:val="24"/>
        </w:rPr>
        <w:t>Introduction</w:t>
      </w:r>
      <w:r w:rsidRPr="00120597">
        <w:rPr>
          <w:rFonts w:asciiTheme="minorHAnsi" w:hAnsiTheme="minorHAnsi" w:cstheme="minorHAnsi"/>
          <w:b/>
          <w:sz w:val="28"/>
          <w:szCs w:val="28"/>
        </w:rPr>
        <w:t>:</w:t>
      </w:r>
    </w:p>
    <w:p w14:paraId="3ED9C2F5" w14:textId="2E7B2297" w:rsidR="00120597" w:rsidRPr="004F74CD" w:rsidRDefault="00120597" w:rsidP="004F74CD">
      <w:pPr>
        <w:tabs>
          <w:tab w:val="left" w:pos="600"/>
          <w:tab w:val="left" w:pos="1440"/>
        </w:tabs>
        <w:rPr>
          <w:rFonts w:asciiTheme="minorHAnsi" w:hAnsiTheme="minorHAnsi" w:cstheme="minorHAnsi"/>
          <w:bCs/>
          <w:szCs w:val="24"/>
        </w:rPr>
      </w:pPr>
      <w:r w:rsidRPr="00120597">
        <w:rPr>
          <w:rFonts w:asciiTheme="minorHAnsi" w:hAnsiTheme="minorHAnsi" w:cstheme="minorHAnsi"/>
          <w:bCs/>
          <w:szCs w:val="24"/>
        </w:rPr>
        <w:t xml:space="preserve">The Councils previous Risk </w:t>
      </w:r>
      <w:r w:rsidR="00013638">
        <w:rPr>
          <w:rFonts w:asciiTheme="minorHAnsi" w:hAnsiTheme="minorHAnsi" w:cstheme="minorHAnsi"/>
          <w:bCs/>
          <w:szCs w:val="24"/>
        </w:rPr>
        <w:t>Management</w:t>
      </w:r>
      <w:r w:rsidRPr="00120597">
        <w:rPr>
          <w:rFonts w:asciiTheme="minorHAnsi" w:hAnsiTheme="minorHAnsi" w:cstheme="minorHAnsi"/>
          <w:bCs/>
          <w:szCs w:val="24"/>
        </w:rPr>
        <w:t xml:space="preserve"> Policy was adopted </w:t>
      </w:r>
      <w:r w:rsidR="00013638">
        <w:rPr>
          <w:rFonts w:asciiTheme="minorHAnsi" w:hAnsiTheme="minorHAnsi" w:cstheme="minorHAnsi"/>
          <w:bCs/>
          <w:szCs w:val="24"/>
        </w:rPr>
        <w:t>in</w:t>
      </w:r>
      <w:r w:rsidRPr="00120597">
        <w:rPr>
          <w:rFonts w:asciiTheme="minorHAnsi" w:hAnsiTheme="minorHAnsi" w:cstheme="minorHAnsi"/>
          <w:bCs/>
          <w:szCs w:val="24"/>
        </w:rPr>
        <w:t xml:space="preserve"> May 20</w:t>
      </w:r>
      <w:r w:rsidR="00013638">
        <w:rPr>
          <w:rFonts w:asciiTheme="minorHAnsi" w:hAnsiTheme="minorHAnsi" w:cstheme="minorHAnsi"/>
          <w:bCs/>
          <w:szCs w:val="24"/>
        </w:rPr>
        <w:t>20</w:t>
      </w:r>
      <w:r w:rsidRPr="00120597">
        <w:rPr>
          <w:rFonts w:asciiTheme="minorHAnsi" w:hAnsiTheme="minorHAnsi" w:cstheme="minorHAnsi"/>
          <w:bCs/>
          <w:szCs w:val="24"/>
        </w:rPr>
        <w:t xml:space="preserve"> </w:t>
      </w:r>
      <w:r w:rsidR="00013638">
        <w:rPr>
          <w:rFonts w:asciiTheme="minorHAnsi" w:hAnsiTheme="minorHAnsi" w:cstheme="minorHAnsi"/>
          <w:bCs/>
          <w:szCs w:val="24"/>
        </w:rPr>
        <w:t>at the beginning of the Coronavirus pandemic</w:t>
      </w:r>
      <w:r w:rsidRPr="00120597">
        <w:rPr>
          <w:rFonts w:asciiTheme="minorHAnsi" w:hAnsiTheme="minorHAnsi" w:cstheme="minorHAnsi"/>
          <w:bCs/>
          <w:szCs w:val="24"/>
        </w:rPr>
        <w:t xml:space="preserve">. Amendments are required to take account of </w:t>
      </w:r>
      <w:r w:rsidR="00013638">
        <w:rPr>
          <w:rFonts w:asciiTheme="minorHAnsi" w:hAnsiTheme="minorHAnsi" w:cstheme="minorHAnsi"/>
          <w:bCs/>
          <w:szCs w:val="24"/>
        </w:rPr>
        <w:t>government policy</w:t>
      </w:r>
      <w:r w:rsidRPr="00120597">
        <w:rPr>
          <w:rFonts w:asciiTheme="minorHAnsi" w:hAnsiTheme="minorHAnsi" w:cstheme="minorHAnsi"/>
          <w:bCs/>
          <w:szCs w:val="24"/>
        </w:rPr>
        <w:t xml:space="preserve"> changes </w:t>
      </w:r>
      <w:r w:rsidR="00013638">
        <w:rPr>
          <w:rFonts w:asciiTheme="minorHAnsi" w:hAnsiTheme="minorHAnsi" w:cstheme="minorHAnsi"/>
          <w:bCs/>
          <w:szCs w:val="24"/>
        </w:rPr>
        <w:t>and developments in Council Policies and Procedures</w:t>
      </w:r>
      <w:r w:rsidR="002D4200">
        <w:rPr>
          <w:rFonts w:asciiTheme="minorHAnsi" w:hAnsiTheme="minorHAnsi" w:cstheme="minorHAnsi"/>
          <w:bCs/>
          <w:szCs w:val="24"/>
        </w:rPr>
        <w:t xml:space="preserve">. </w:t>
      </w:r>
      <w:r w:rsidRPr="00120597">
        <w:rPr>
          <w:rFonts w:asciiTheme="minorHAnsi" w:hAnsiTheme="minorHAnsi" w:cstheme="minorHAnsi"/>
          <w:bCs/>
          <w:szCs w:val="24"/>
        </w:rPr>
        <w:t xml:space="preserve">It is recommended that Council adopt the following statement as part of the continual review of policies as it prepares for </w:t>
      </w:r>
      <w:r w:rsidR="004F74CD">
        <w:rPr>
          <w:rFonts w:asciiTheme="minorHAnsi" w:hAnsiTheme="minorHAnsi" w:cstheme="minorHAnsi"/>
          <w:bCs/>
          <w:szCs w:val="24"/>
        </w:rPr>
        <w:t>recognition under the National Awards Scheme</w:t>
      </w:r>
      <w:r w:rsidRPr="00120597">
        <w:rPr>
          <w:rFonts w:asciiTheme="minorHAnsi" w:hAnsiTheme="minorHAnsi" w:cstheme="minorHAnsi"/>
          <w:bCs/>
          <w:szCs w:val="24"/>
        </w:rPr>
        <w:t>.</w:t>
      </w:r>
    </w:p>
    <w:p w14:paraId="423EA9B5" w14:textId="77777777" w:rsidR="00120597" w:rsidRPr="00120597" w:rsidRDefault="00120597" w:rsidP="00120597">
      <w:pPr>
        <w:rPr>
          <w:rFonts w:asciiTheme="minorHAnsi" w:hAnsiTheme="minorHAnsi" w:cstheme="minorHAnsi"/>
          <w:b/>
          <w:bCs/>
          <w:szCs w:val="24"/>
        </w:rPr>
      </w:pPr>
    </w:p>
    <w:p w14:paraId="79016A47" w14:textId="77777777" w:rsidR="00120597" w:rsidRPr="00120597" w:rsidRDefault="00120597" w:rsidP="00120597">
      <w:pPr>
        <w:rPr>
          <w:rFonts w:asciiTheme="minorHAnsi" w:hAnsiTheme="minorHAnsi" w:cstheme="minorHAnsi"/>
          <w:b/>
          <w:bCs/>
          <w:sz w:val="22"/>
          <w:szCs w:val="22"/>
        </w:rPr>
      </w:pPr>
      <w:r w:rsidRPr="00120597">
        <w:rPr>
          <w:rFonts w:asciiTheme="minorHAnsi" w:hAnsiTheme="minorHAnsi" w:cstheme="minorHAnsi"/>
          <w:b/>
          <w:bCs/>
        </w:rPr>
        <w:t>Definition of Risk Management</w:t>
      </w:r>
    </w:p>
    <w:p w14:paraId="46572AB7" w14:textId="0B8FAADE" w:rsidR="00120597" w:rsidRPr="00120597" w:rsidRDefault="00120597" w:rsidP="00120597">
      <w:pPr>
        <w:jc w:val="both"/>
        <w:rPr>
          <w:rFonts w:asciiTheme="minorHAnsi" w:hAnsiTheme="minorHAnsi" w:cstheme="minorHAnsi"/>
          <w:sz w:val="16"/>
          <w:szCs w:val="16"/>
        </w:rPr>
      </w:pPr>
      <w:r w:rsidRPr="00120597">
        <w:rPr>
          <w:rFonts w:asciiTheme="minorHAnsi" w:hAnsiTheme="minorHAnsi" w:cstheme="minorHAnsi"/>
        </w:rPr>
        <w:t xml:space="preserve">Risk is an uncertain event or condition that, if it occurs, will </w:t>
      </w:r>
      <w:r w:rsidR="00250494" w:rsidRPr="00120597">
        <w:rPr>
          <w:rFonts w:asciiTheme="minorHAnsi" w:hAnsiTheme="minorHAnsi" w:cstheme="minorHAnsi"/>
        </w:rPr>
        <w:t>influence</w:t>
      </w:r>
      <w:r w:rsidRPr="00120597">
        <w:rPr>
          <w:rFonts w:asciiTheme="minorHAnsi" w:hAnsiTheme="minorHAnsi" w:cstheme="minorHAnsi"/>
        </w:rPr>
        <w:t xml:space="preserve"> the achievement of an authority’s operational and strategic objectives. Risk Management is the process whereby authorities methodically address the risks associated with what they do and the services they provide. The focus of risk management is to identify threats that an event or action will adversely affect an </w:t>
      </w:r>
      <w:r w:rsidR="00607CCF" w:rsidRPr="00120597">
        <w:rPr>
          <w:rFonts w:asciiTheme="minorHAnsi" w:hAnsiTheme="minorHAnsi" w:cstheme="minorHAnsi"/>
        </w:rPr>
        <w:t>organisation’s</w:t>
      </w:r>
      <w:r w:rsidRPr="00120597">
        <w:rPr>
          <w:rFonts w:asciiTheme="minorHAnsi" w:hAnsiTheme="minorHAnsi" w:cstheme="minorHAnsi"/>
        </w:rPr>
        <w:t xml:space="preserve"> ability to achieve its objectives, what can go wrong and to take proportionate steps to avoid this or successfully manage the consequences</w:t>
      </w:r>
      <w:r w:rsidRPr="00120597">
        <w:rPr>
          <w:rFonts w:asciiTheme="minorHAnsi" w:hAnsiTheme="minorHAnsi" w:cstheme="minorHAnsi"/>
          <w:sz w:val="16"/>
          <w:szCs w:val="16"/>
        </w:rPr>
        <w:t>.</w:t>
      </w:r>
    </w:p>
    <w:p w14:paraId="190E9150" w14:textId="6E2C0941" w:rsidR="00120597" w:rsidRPr="00120597" w:rsidRDefault="00120597" w:rsidP="00120597">
      <w:pPr>
        <w:jc w:val="both"/>
        <w:rPr>
          <w:rFonts w:asciiTheme="minorHAnsi" w:hAnsiTheme="minorHAnsi" w:cstheme="minorHAnsi"/>
          <w:sz w:val="22"/>
          <w:szCs w:val="22"/>
        </w:rPr>
      </w:pPr>
      <w:r w:rsidRPr="00120597">
        <w:rPr>
          <w:rFonts w:asciiTheme="minorHAnsi" w:hAnsiTheme="minorHAnsi" w:cstheme="minorHAnsi"/>
          <w:sz w:val="22"/>
          <w:szCs w:val="22"/>
        </w:rPr>
        <w:t xml:space="preserve">Risk is not restricted to potential threats but can </w:t>
      </w:r>
      <w:r w:rsidR="00250494" w:rsidRPr="00120597">
        <w:rPr>
          <w:rFonts w:asciiTheme="minorHAnsi" w:hAnsiTheme="minorHAnsi" w:cstheme="minorHAnsi"/>
          <w:sz w:val="22"/>
          <w:szCs w:val="22"/>
        </w:rPr>
        <w:t>relate to</w:t>
      </w:r>
      <w:r w:rsidRPr="00120597">
        <w:rPr>
          <w:rFonts w:asciiTheme="minorHAnsi" w:hAnsiTheme="minorHAnsi" w:cstheme="minorHAnsi"/>
          <w:sz w:val="22"/>
          <w:szCs w:val="22"/>
        </w:rPr>
        <w:t xml:space="preserve"> opportunities. Good risk management can facilitate proactive rather than merely defensive responses. Measures to manage adverse risks are likely to help with managing positive ones, an important factor when developing devolution policies under the </w:t>
      </w:r>
      <w:r w:rsidRPr="00120597">
        <w:rPr>
          <w:rFonts w:asciiTheme="minorHAnsi" w:hAnsiTheme="minorHAnsi" w:cstheme="minorHAnsi"/>
          <w:b/>
          <w:bCs/>
          <w:sz w:val="22"/>
          <w:szCs w:val="22"/>
        </w:rPr>
        <w:t xml:space="preserve">Localism Act (2011). </w:t>
      </w:r>
      <w:r w:rsidRPr="00120597">
        <w:rPr>
          <w:rFonts w:asciiTheme="minorHAnsi" w:hAnsiTheme="minorHAnsi" w:cstheme="minorHAnsi"/>
          <w:sz w:val="22"/>
          <w:szCs w:val="22"/>
        </w:rPr>
        <w:t>Examples below are high profile but not exhaustive:</w:t>
      </w:r>
    </w:p>
    <w:p w14:paraId="5EE973F1" w14:textId="77777777" w:rsidR="00120597" w:rsidRPr="00120597" w:rsidRDefault="00120597" w:rsidP="00120597">
      <w:pPr>
        <w:jc w:val="both"/>
        <w:rPr>
          <w:rFonts w:asciiTheme="minorHAnsi" w:hAnsiTheme="minorHAnsi" w:cstheme="minorHAnsi"/>
          <w:sz w:val="22"/>
          <w:szCs w:val="22"/>
        </w:rPr>
      </w:pPr>
    </w:p>
    <w:p w14:paraId="3D11C223"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Health &amp; Safety Risk. </w:t>
      </w:r>
      <w:r w:rsidRPr="00120597">
        <w:rPr>
          <w:rFonts w:asciiTheme="minorHAnsi" w:hAnsiTheme="minorHAnsi" w:cstheme="minorHAnsi"/>
          <w:sz w:val="22"/>
          <w:szCs w:val="22"/>
        </w:rPr>
        <w:t xml:space="preserve"> Councils should adhere to the requirements of the Health and Safety at Work Act 1974; The Management of Health and Safety at Work regulations 1999 and other relevant health and safety legislation and codes of practice.</w:t>
      </w:r>
    </w:p>
    <w:p w14:paraId="6D518D88"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Strategic Risk. </w:t>
      </w:r>
      <w:r w:rsidRPr="00120597">
        <w:rPr>
          <w:rFonts w:asciiTheme="minorHAnsi" w:hAnsiTheme="minorHAnsi" w:cstheme="minorHAnsi"/>
          <w:sz w:val="22"/>
          <w:szCs w:val="22"/>
        </w:rPr>
        <w:t>Councils should have regard to the</w:t>
      </w:r>
      <w:r w:rsidRPr="00120597">
        <w:rPr>
          <w:rFonts w:asciiTheme="minorHAnsi" w:hAnsiTheme="minorHAnsi" w:cstheme="minorHAnsi"/>
          <w:b/>
          <w:bCs/>
          <w:sz w:val="22"/>
          <w:szCs w:val="22"/>
        </w:rPr>
        <w:t xml:space="preserve"> </w:t>
      </w:r>
      <w:r w:rsidRPr="00120597">
        <w:rPr>
          <w:rFonts w:asciiTheme="minorHAnsi" w:hAnsiTheme="minorHAnsi" w:cstheme="minorHAnsi"/>
          <w:sz w:val="22"/>
          <w:szCs w:val="22"/>
        </w:rPr>
        <w:t>long-term adverse impacts from poor decision-making or poor implementation, risk damage to the reputation of the Council, loss of public confidence or at worst Government intervention.</w:t>
      </w:r>
    </w:p>
    <w:p w14:paraId="6CAF8BEC"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Compliance Risk. </w:t>
      </w:r>
      <w:r w:rsidRPr="00120597">
        <w:rPr>
          <w:rFonts w:asciiTheme="minorHAnsi" w:hAnsiTheme="minorHAnsi" w:cstheme="minorHAnsi"/>
          <w:sz w:val="22"/>
          <w:szCs w:val="22"/>
        </w:rPr>
        <w:t>Councils should be aware that</w:t>
      </w:r>
      <w:r w:rsidRPr="00120597">
        <w:rPr>
          <w:rFonts w:asciiTheme="minorHAnsi" w:hAnsiTheme="minorHAnsi" w:cstheme="minorHAnsi"/>
          <w:b/>
          <w:bCs/>
          <w:sz w:val="22"/>
          <w:szCs w:val="22"/>
        </w:rPr>
        <w:t xml:space="preserve"> </w:t>
      </w:r>
      <w:r w:rsidRPr="00120597">
        <w:rPr>
          <w:rFonts w:asciiTheme="minorHAnsi" w:hAnsiTheme="minorHAnsi" w:cstheme="minorHAnsi"/>
          <w:sz w:val="22"/>
          <w:szCs w:val="22"/>
        </w:rPr>
        <w:t>failure to comply with legislation or lack of documentation to prove compliance risks exposure to prosecution, judicial review, employment tribunals, inability to enforce contracts.</w:t>
      </w:r>
    </w:p>
    <w:p w14:paraId="2597BDC5"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Financial Risk. </w:t>
      </w:r>
      <w:r w:rsidRPr="00120597">
        <w:rPr>
          <w:rFonts w:asciiTheme="minorHAnsi" w:hAnsiTheme="minorHAnsi" w:cstheme="minorHAnsi"/>
          <w:sz w:val="22"/>
          <w:szCs w:val="22"/>
        </w:rPr>
        <w:t>Fraud and corruption, waste, excess demand for services, bad debts create the risk of additional audit investigation, objection to accounts, reduced service delivery and/or significantly increased impact on Council Reserves or Precept level.</w:t>
      </w:r>
    </w:p>
    <w:p w14:paraId="4957EABC" w14:textId="489E06E4"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Operating Risk. </w:t>
      </w:r>
      <w:r w:rsidRPr="00120597">
        <w:rPr>
          <w:rFonts w:asciiTheme="minorHAnsi" w:hAnsiTheme="minorHAnsi" w:cstheme="minorHAnsi"/>
          <w:sz w:val="22"/>
          <w:szCs w:val="22"/>
        </w:rPr>
        <w:t xml:space="preserve">Failure to deliver services effectively; malfunctioning equipment; hazards to service users the </w:t>
      </w:r>
      <w:r w:rsidR="00250494" w:rsidRPr="00120597">
        <w:rPr>
          <w:rFonts w:asciiTheme="minorHAnsi" w:hAnsiTheme="minorHAnsi" w:cstheme="minorHAnsi"/>
          <w:sz w:val="22"/>
          <w:szCs w:val="22"/>
        </w:rPr>
        <w:t>public</w:t>
      </w:r>
      <w:r w:rsidRPr="00120597">
        <w:rPr>
          <w:rFonts w:asciiTheme="minorHAnsi" w:hAnsiTheme="minorHAnsi" w:cstheme="minorHAnsi"/>
          <w:sz w:val="22"/>
          <w:szCs w:val="22"/>
        </w:rPr>
        <w:t xml:space="preserve"> or staff produces the risk of insurance claims, higher premiums, and lengthy recovery processes.</w:t>
      </w:r>
    </w:p>
    <w:p w14:paraId="4CD502AA" w14:textId="77777777" w:rsidR="00120597" w:rsidRPr="00120597" w:rsidRDefault="00120597" w:rsidP="00120597">
      <w:pPr>
        <w:jc w:val="both"/>
        <w:rPr>
          <w:rFonts w:asciiTheme="minorHAnsi" w:hAnsiTheme="minorHAnsi" w:cstheme="minorHAnsi"/>
          <w:sz w:val="22"/>
          <w:szCs w:val="22"/>
        </w:rPr>
      </w:pPr>
    </w:p>
    <w:p w14:paraId="22D421D4" w14:textId="77777777" w:rsidR="00120597" w:rsidRPr="00120597" w:rsidRDefault="00120597" w:rsidP="00120597">
      <w:pPr>
        <w:jc w:val="both"/>
        <w:rPr>
          <w:rFonts w:asciiTheme="minorHAnsi" w:hAnsiTheme="minorHAnsi" w:cstheme="minorHAnsi"/>
          <w:b/>
          <w:bCs/>
        </w:rPr>
      </w:pPr>
      <w:r w:rsidRPr="00120597">
        <w:rPr>
          <w:rFonts w:asciiTheme="minorHAnsi" w:hAnsiTheme="minorHAnsi" w:cstheme="minorHAnsi"/>
          <w:b/>
          <w:bCs/>
        </w:rPr>
        <w:t>Risk Management Policy Statement</w:t>
      </w:r>
    </w:p>
    <w:p w14:paraId="3F229556" w14:textId="1E5C3B68"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Waltham Parish Council has a statutory responsibility under the </w:t>
      </w:r>
      <w:r w:rsidRPr="00120597">
        <w:rPr>
          <w:rFonts w:asciiTheme="minorHAnsi" w:hAnsiTheme="minorHAnsi" w:cstheme="minorHAnsi"/>
          <w:b/>
          <w:bCs/>
        </w:rPr>
        <w:t>Accounts and Audit Regulations (2015)</w:t>
      </w:r>
      <w:r w:rsidRPr="00120597">
        <w:rPr>
          <w:rFonts w:asciiTheme="minorHAnsi" w:hAnsiTheme="minorHAnsi" w:cstheme="minorHAnsi"/>
        </w:rPr>
        <w:t xml:space="preserve"> </w:t>
      </w:r>
      <w:r w:rsidRPr="00120597">
        <w:rPr>
          <w:rFonts w:asciiTheme="minorHAnsi" w:hAnsiTheme="minorHAnsi" w:cstheme="minorHAnsi"/>
          <w:sz w:val="22"/>
          <w:szCs w:val="22"/>
        </w:rPr>
        <w:t>to</w:t>
      </w:r>
      <w:r w:rsidRPr="00120597">
        <w:rPr>
          <w:rFonts w:asciiTheme="minorHAnsi" w:hAnsiTheme="minorHAnsi" w:cstheme="minorHAnsi"/>
        </w:rPr>
        <w:t xml:space="preserve"> manage risks effectively </w:t>
      </w:r>
      <w:r w:rsidR="00250494" w:rsidRPr="00120597">
        <w:rPr>
          <w:rFonts w:asciiTheme="minorHAnsi" w:hAnsiTheme="minorHAnsi" w:cstheme="minorHAnsi"/>
        </w:rPr>
        <w:t>to</w:t>
      </w:r>
      <w:r w:rsidRPr="00120597">
        <w:rPr>
          <w:rFonts w:asciiTheme="minorHAnsi" w:hAnsiTheme="minorHAnsi" w:cstheme="minorHAnsi"/>
        </w:rPr>
        <w:t xml:space="preserve"> protect its members and staff, assets, </w:t>
      </w:r>
      <w:proofErr w:type="gramStart"/>
      <w:r w:rsidRPr="00120597">
        <w:rPr>
          <w:rFonts w:asciiTheme="minorHAnsi" w:hAnsiTheme="minorHAnsi" w:cstheme="minorHAnsi"/>
        </w:rPr>
        <w:t>liabilities</w:t>
      </w:r>
      <w:proofErr w:type="gramEnd"/>
      <w:r w:rsidRPr="00120597">
        <w:rPr>
          <w:rFonts w:asciiTheme="minorHAnsi" w:hAnsiTheme="minorHAnsi" w:cstheme="minorHAnsi"/>
        </w:rPr>
        <w:t xml:space="preserve"> and the community against potential losses, to minimise uncertainty in achieving its objectives and to maximise its opportunities.</w:t>
      </w:r>
    </w:p>
    <w:p w14:paraId="0A889E57" w14:textId="0C54694E" w:rsidR="00120597" w:rsidRPr="00120597" w:rsidRDefault="00120597" w:rsidP="00120597">
      <w:pPr>
        <w:jc w:val="both"/>
        <w:rPr>
          <w:rFonts w:asciiTheme="minorHAnsi" w:hAnsiTheme="minorHAnsi" w:cstheme="minorHAnsi"/>
        </w:rPr>
      </w:pPr>
      <w:r w:rsidRPr="00120597">
        <w:rPr>
          <w:rFonts w:asciiTheme="minorHAnsi" w:hAnsiTheme="minorHAnsi" w:cstheme="minorHAnsi"/>
        </w:rPr>
        <w:lastRenderedPageBreak/>
        <w:t xml:space="preserve">The council is aware that some risks can never be fully eliminated and has in place a strategy that provides a structured, </w:t>
      </w:r>
      <w:r w:rsidR="00250494" w:rsidRPr="00120597">
        <w:rPr>
          <w:rFonts w:asciiTheme="minorHAnsi" w:hAnsiTheme="minorHAnsi" w:cstheme="minorHAnsi"/>
        </w:rPr>
        <w:t>systematic,</w:t>
      </w:r>
      <w:r w:rsidRPr="00120597">
        <w:rPr>
          <w:rFonts w:asciiTheme="minorHAnsi" w:hAnsiTheme="minorHAnsi" w:cstheme="minorHAnsi"/>
        </w:rPr>
        <w:t xml:space="preserve"> and focussed approach to managing potential problems. All risks should be systematically identified and managed in the most cost-effective manner within the resources available. Each risk identified is reported to full council and recorded in minutes. The potential impact is assessed, appropriate control measures are applied, and the frequency of review determined. The main categories of risk for </w:t>
      </w:r>
      <w:r w:rsidRPr="00120597">
        <w:rPr>
          <w:rFonts w:asciiTheme="minorHAnsi" w:hAnsiTheme="minorHAnsi" w:cstheme="minorHAnsi"/>
          <w:i/>
          <w:iCs/>
        </w:rPr>
        <w:t>this</w:t>
      </w:r>
      <w:r w:rsidRPr="00120597">
        <w:rPr>
          <w:rFonts w:asciiTheme="minorHAnsi" w:hAnsiTheme="minorHAnsi" w:cstheme="minorHAnsi"/>
        </w:rPr>
        <w:t xml:space="preserve"> authority are:</w:t>
      </w:r>
    </w:p>
    <w:p w14:paraId="362F1D3D"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Financial</w:t>
      </w:r>
      <w:r w:rsidRPr="00120597">
        <w:rPr>
          <w:rFonts w:asciiTheme="minorHAnsi" w:hAnsiTheme="minorHAnsi" w:cstheme="minorHAnsi"/>
        </w:rPr>
        <w:t xml:space="preserve"> – loss of money </w:t>
      </w:r>
    </w:p>
    <w:p w14:paraId="48817863"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Security</w:t>
      </w:r>
      <w:r w:rsidRPr="00120597">
        <w:rPr>
          <w:rFonts w:asciiTheme="minorHAnsi" w:hAnsiTheme="minorHAnsi" w:cstheme="minorHAnsi"/>
        </w:rPr>
        <w:t xml:space="preserve"> – fraud, </w:t>
      </w:r>
      <w:proofErr w:type="gramStart"/>
      <w:r w:rsidRPr="00120597">
        <w:rPr>
          <w:rFonts w:asciiTheme="minorHAnsi" w:hAnsiTheme="minorHAnsi" w:cstheme="minorHAnsi"/>
        </w:rPr>
        <w:t>theft</w:t>
      </w:r>
      <w:proofErr w:type="gramEnd"/>
      <w:r w:rsidRPr="00120597">
        <w:rPr>
          <w:rFonts w:asciiTheme="minorHAnsi" w:hAnsiTheme="minorHAnsi" w:cstheme="minorHAnsi"/>
        </w:rPr>
        <w:t xml:space="preserve"> or embezzlement</w:t>
      </w:r>
    </w:p>
    <w:p w14:paraId="29F455E4"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w:t>
      </w:r>
      <w:r w:rsidRPr="00120597">
        <w:rPr>
          <w:rFonts w:asciiTheme="minorHAnsi" w:hAnsiTheme="minorHAnsi" w:cstheme="minorHAnsi"/>
          <w:b/>
          <w:bCs/>
        </w:rPr>
        <w:t xml:space="preserve"> Property</w:t>
      </w:r>
      <w:r w:rsidRPr="00120597">
        <w:rPr>
          <w:rFonts w:asciiTheme="minorHAnsi" w:hAnsiTheme="minorHAnsi" w:cstheme="minorHAnsi"/>
        </w:rPr>
        <w:t xml:space="preserve"> – damage to property</w:t>
      </w:r>
    </w:p>
    <w:p w14:paraId="1D8FE332"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 xml:space="preserve">Legal – </w:t>
      </w:r>
      <w:r w:rsidRPr="00120597">
        <w:rPr>
          <w:rFonts w:asciiTheme="minorHAnsi" w:hAnsiTheme="minorHAnsi" w:cstheme="minorHAnsi"/>
        </w:rPr>
        <w:t>breaking the law or being sued</w:t>
      </w:r>
    </w:p>
    <w:p w14:paraId="340BC710"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Information</w:t>
      </w:r>
      <w:r w:rsidRPr="00120597">
        <w:rPr>
          <w:rFonts w:asciiTheme="minorHAnsi" w:hAnsiTheme="minorHAnsi" w:cstheme="minorHAnsi"/>
        </w:rPr>
        <w:t xml:space="preserve"> </w:t>
      </w:r>
      <w:r w:rsidRPr="00120597">
        <w:rPr>
          <w:rFonts w:asciiTheme="minorHAnsi" w:hAnsiTheme="minorHAnsi" w:cstheme="minorHAnsi"/>
          <w:b/>
          <w:bCs/>
        </w:rPr>
        <w:t xml:space="preserve">Technology – </w:t>
      </w:r>
      <w:r w:rsidRPr="00120597">
        <w:rPr>
          <w:rFonts w:asciiTheme="minorHAnsi" w:hAnsiTheme="minorHAnsi" w:cstheme="minorHAnsi"/>
        </w:rPr>
        <w:t xml:space="preserve">failure of IT systems or misuse: and  </w:t>
      </w:r>
    </w:p>
    <w:p w14:paraId="42E078BE"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 xml:space="preserve">Reputational – </w:t>
      </w:r>
      <w:r w:rsidRPr="00120597">
        <w:rPr>
          <w:rFonts w:asciiTheme="minorHAnsi" w:hAnsiTheme="minorHAnsi" w:cstheme="minorHAnsi"/>
        </w:rPr>
        <w:t>actions that could harm the council’s public reputation.</w:t>
      </w:r>
    </w:p>
    <w:p w14:paraId="3884F940" w14:textId="77777777" w:rsidR="00120597" w:rsidRPr="00120597" w:rsidRDefault="00120597" w:rsidP="00120597">
      <w:pPr>
        <w:jc w:val="both"/>
        <w:rPr>
          <w:rFonts w:asciiTheme="minorHAnsi" w:hAnsiTheme="minorHAnsi" w:cstheme="minorHAnsi"/>
        </w:rPr>
      </w:pPr>
    </w:p>
    <w:p w14:paraId="3A187EF9" w14:textId="7B19DC1D" w:rsidR="00120597" w:rsidRPr="00120597" w:rsidRDefault="00120597" w:rsidP="00120597">
      <w:pPr>
        <w:jc w:val="both"/>
        <w:rPr>
          <w:rFonts w:asciiTheme="minorHAnsi" w:hAnsiTheme="minorHAnsi" w:cstheme="minorHAnsi"/>
        </w:rPr>
      </w:pPr>
      <w:r w:rsidRPr="00120597">
        <w:rPr>
          <w:rFonts w:asciiTheme="minorHAnsi" w:hAnsiTheme="minorHAnsi" w:cstheme="minorHAnsi"/>
        </w:rPr>
        <w:t>It is the responsibility of all councillors and the clerk as an employee to have regard for risk in carrying out their duties. If uncontrolled, risk can result in a drain on resources that could be better directed to the meeting of the council’s objectives and community needs.</w:t>
      </w:r>
    </w:p>
    <w:p w14:paraId="58CBDDA3" w14:textId="77777777" w:rsidR="00120597" w:rsidRPr="00120597" w:rsidRDefault="00120597" w:rsidP="00120597">
      <w:pPr>
        <w:jc w:val="both"/>
        <w:rPr>
          <w:rFonts w:asciiTheme="minorHAnsi" w:hAnsiTheme="minorHAnsi" w:cstheme="minorHAnsi"/>
        </w:rPr>
      </w:pPr>
    </w:p>
    <w:p w14:paraId="2002A57C" w14:textId="77777777" w:rsidR="00120597" w:rsidRPr="00120597" w:rsidRDefault="00120597" w:rsidP="00120597">
      <w:pPr>
        <w:jc w:val="both"/>
        <w:rPr>
          <w:rFonts w:asciiTheme="minorHAnsi" w:hAnsiTheme="minorHAnsi" w:cstheme="minorHAnsi"/>
          <w:b/>
          <w:bCs/>
        </w:rPr>
      </w:pPr>
      <w:r w:rsidRPr="00120597">
        <w:rPr>
          <w:rFonts w:asciiTheme="minorHAnsi" w:hAnsiTheme="minorHAnsi" w:cstheme="minorHAnsi"/>
          <w:b/>
          <w:bCs/>
        </w:rPr>
        <w:t xml:space="preserve">Risk Assessment </w:t>
      </w:r>
    </w:p>
    <w:p w14:paraId="099095DE" w14:textId="106AEA34" w:rsidR="00120597" w:rsidRPr="004F74CD" w:rsidRDefault="00120597" w:rsidP="00120597">
      <w:pPr>
        <w:jc w:val="both"/>
        <w:rPr>
          <w:rFonts w:asciiTheme="minorHAnsi" w:hAnsiTheme="minorHAnsi" w:cstheme="minorHAnsi"/>
          <w:b/>
          <w:bCs/>
        </w:rPr>
      </w:pPr>
      <w:r w:rsidRPr="00120597">
        <w:rPr>
          <w:rFonts w:asciiTheme="minorHAnsi" w:hAnsiTheme="minorHAnsi" w:cstheme="minorHAnsi"/>
        </w:rPr>
        <w:t xml:space="preserve">In producing a risk management framework, the council will use the following risk assessment matrix suggested in assertion 5 of </w:t>
      </w:r>
      <w:r w:rsidRPr="00120597">
        <w:rPr>
          <w:rFonts w:asciiTheme="minorHAnsi" w:hAnsiTheme="minorHAnsi" w:cstheme="minorHAnsi"/>
          <w:b/>
          <w:bCs/>
        </w:rPr>
        <w:t>Governance and Accountability (2019)</w:t>
      </w:r>
      <w:r w:rsidRPr="00120597">
        <w:rPr>
          <w:rFonts w:asciiTheme="minorHAnsi" w:hAnsiTheme="minorHAnsi" w:cstheme="minorHAnsi"/>
        </w:rPr>
        <w:t xml:space="preserve"> to assess the potential consequences of a risk occurring (impact) and consider how likely this is (likelihood). The numerical score achieved will suggest priorities for action in managing those risks.</w:t>
      </w:r>
    </w:p>
    <w:p w14:paraId="3B485935" w14:textId="79FC6228" w:rsidR="00120597" w:rsidRPr="002D4200" w:rsidRDefault="00120597" w:rsidP="002D4200">
      <w:pPr>
        <w:jc w:val="center"/>
        <w:rPr>
          <w:rFonts w:asciiTheme="minorHAnsi" w:hAnsiTheme="minorHAnsi" w:cstheme="minorHAnsi"/>
          <w:b/>
          <w:bCs/>
        </w:rPr>
      </w:pPr>
      <w:r w:rsidRPr="00120597">
        <w:rPr>
          <w:rFonts w:asciiTheme="minorHAnsi" w:hAnsiTheme="minorHAnsi" w:cstheme="minorHAnsi"/>
          <w:b/>
          <w:bCs/>
        </w:rPr>
        <w:t>Risk Assessment Matrix</w:t>
      </w:r>
    </w:p>
    <w:tbl>
      <w:tblPr>
        <w:tblStyle w:val="TableGrid"/>
        <w:tblW w:w="0" w:type="auto"/>
        <w:jc w:val="center"/>
        <w:tblInd w:w="0" w:type="dxa"/>
        <w:tblLook w:val="04A0" w:firstRow="1" w:lastRow="0" w:firstColumn="1" w:lastColumn="0" w:noHBand="0" w:noVBand="1"/>
      </w:tblPr>
      <w:tblGrid>
        <w:gridCol w:w="1075"/>
        <w:gridCol w:w="2051"/>
        <w:gridCol w:w="1799"/>
        <w:gridCol w:w="2063"/>
        <w:gridCol w:w="2055"/>
      </w:tblGrid>
      <w:tr w:rsidR="00120597" w:rsidRPr="00120597" w14:paraId="56F3C49F" w14:textId="77777777" w:rsidTr="002050DB">
        <w:trPr>
          <w:jc w:val="center"/>
        </w:trPr>
        <w:tc>
          <w:tcPr>
            <w:tcW w:w="1075" w:type="dxa"/>
            <w:vMerge w:val="restart"/>
            <w:tcBorders>
              <w:top w:val="single" w:sz="4" w:space="0" w:color="auto"/>
              <w:left w:val="single" w:sz="4" w:space="0" w:color="auto"/>
              <w:bottom w:val="single" w:sz="4" w:space="0" w:color="auto"/>
              <w:right w:val="single" w:sz="4" w:space="0" w:color="auto"/>
            </w:tcBorders>
          </w:tcPr>
          <w:p w14:paraId="619325C9" w14:textId="77777777" w:rsidR="00120597" w:rsidRPr="004F74CD" w:rsidRDefault="00120597">
            <w:pPr>
              <w:jc w:val="both"/>
              <w:rPr>
                <w:rFonts w:asciiTheme="minorHAnsi" w:hAnsiTheme="minorHAnsi" w:cstheme="minorHAnsi"/>
                <w:sz w:val="20"/>
              </w:rPr>
            </w:pPr>
          </w:p>
          <w:p w14:paraId="651D808F" w14:textId="77777777" w:rsidR="00120597" w:rsidRPr="004F74CD" w:rsidRDefault="00120597">
            <w:pPr>
              <w:jc w:val="both"/>
              <w:rPr>
                <w:rFonts w:asciiTheme="minorHAnsi" w:hAnsiTheme="minorHAnsi" w:cstheme="minorHAnsi"/>
                <w:sz w:val="20"/>
              </w:rPr>
            </w:pPr>
          </w:p>
          <w:p w14:paraId="37D9E769" w14:textId="77777777" w:rsidR="00120597" w:rsidRPr="004F74CD" w:rsidRDefault="00120597">
            <w:pPr>
              <w:jc w:val="both"/>
              <w:rPr>
                <w:rFonts w:asciiTheme="minorHAnsi" w:hAnsiTheme="minorHAnsi" w:cstheme="minorHAnsi"/>
                <w:sz w:val="20"/>
              </w:rPr>
            </w:pPr>
          </w:p>
          <w:p w14:paraId="3D8F6B7B" w14:textId="77777777" w:rsidR="00120597" w:rsidRPr="004F74CD" w:rsidRDefault="00120597">
            <w:pPr>
              <w:jc w:val="both"/>
              <w:rPr>
                <w:rFonts w:asciiTheme="minorHAnsi" w:hAnsiTheme="minorHAnsi" w:cstheme="minorHAnsi"/>
                <w:b/>
                <w:bCs/>
                <w:sz w:val="20"/>
              </w:rPr>
            </w:pPr>
          </w:p>
          <w:p w14:paraId="421B1A56" w14:textId="77777777" w:rsidR="00120597" w:rsidRPr="004F74CD" w:rsidRDefault="00120597">
            <w:pPr>
              <w:jc w:val="both"/>
              <w:rPr>
                <w:rFonts w:asciiTheme="minorHAnsi" w:hAnsiTheme="minorHAnsi" w:cstheme="minorHAnsi"/>
                <w:b/>
                <w:bCs/>
                <w:sz w:val="20"/>
              </w:rPr>
            </w:pPr>
            <w:r w:rsidRPr="004F74CD">
              <w:rPr>
                <w:rFonts w:asciiTheme="minorHAnsi" w:hAnsiTheme="minorHAnsi" w:cstheme="minorHAnsi"/>
                <w:b/>
                <w:bCs/>
                <w:sz w:val="20"/>
              </w:rPr>
              <w:t>Likelihood</w:t>
            </w:r>
          </w:p>
        </w:tc>
        <w:tc>
          <w:tcPr>
            <w:tcW w:w="2051" w:type="dxa"/>
            <w:tcBorders>
              <w:top w:val="single" w:sz="4" w:space="0" w:color="auto"/>
              <w:left w:val="single" w:sz="4" w:space="0" w:color="auto"/>
              <w:bottom w:val="single" w:sz="4" w:space="0" w:color="auto"/>
              <w:right w:val="single" w:sz="4" w:space="0" w:color="auto"/>
            </w:tcBorders>
          </w:tcPr>
          <w:p w14:paraId="24CE281D" w14:textId="77777777" w:rsidR="00120597" w:rsidRPr="004F74CD" w:rsidRDefault="00120597">
            <w:pPr>
              <w:jc w:val="both"/>
              <w:rPr>
                <w:rFonts w:asciiTheme="minorHAnsi" w:hAnsiTheme="minorHAnsi" w:cstheme="minorHAnsi"/>
                <w:sz w:val="20"/>
              </w:rPr>
            </w:pPr>
          </w:p>
          <w:p w14:paraId="13E5B655"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Highly likely (3)</w:t>
            </w:r>
          </w:p>
        </w:tc>
        <w:tc>
          <w:tcPr>
            <w:tcW w:w="1799" w:type="dxa"/>
            <w:tcBorders>
              <w:top w:val="single" w:sz="4" w:space="0" w:color="auto"/>
              <w:left w:val="single" w:sz="4" w:space="0" w:color="auto"/>
              <w:bottom w:val="single" w:sz="4" w:space="0" w:color="auto"/>
              <w:right w:val="single" w:sz="4" w:space="0" w:color="auto"/>
            </w:tcBorders>
          </w:tcPr>
          <w:p w14:paraId="6E908D87" w14:textId="77777777" w:rsidR="00120597" w:rsidRPr="004F74CD" w:rsidRDefault="00120597">
            <w:pPr>
              <w:jc w:val="both"/>
              <w:rPr>
                <w:rFonts w:asciiTheme="minorHAnsi" w:hAnsiTheme="minorHAnsi" w:cstheme="minorHAnsi"/>
                <w:b/>
                <w:bCs/>
                <w:sz w:val="20"/>
              </w:rPr>
            </w:pPr>
          </w:p>
          <w:p w14:paraId="3A926C27" w14:textId="77777777" w:rsidR="00120597" w:rsidRPr="004F74CD" w:rsidRDefault="00120597">
            <w:pPr>
              <w:jc w:val="center"/>
              <w:rPr>
                <w:rFonts w:asciiTheme="minorHAnsi" w:hAnsiTheme="minorHAnsi" w:cstheme="minorHAnsi"/>
                <w:b/>
                <w:bCs/>
                <w:color w:val="FFFF00"/>
                <w:sz w:val="20"/>
                <w14:textOutline w14:w="9525" w14:cap="rnd" w14:cmpd="sng" w14:algn="ctr">
                  <w14:noFill/>
                  <w14:prstDash w14:val="solid"/>
                  <w14:bevel/>
                </w14:textOutline>
                <w14:textFill>
                  <w14:solidFill>
                    <w14:srgbClr w14:val="FFFF00">
                      <w14:alpha w14:val="48000"/>
                    </w14:srgbClr>
                  </w14:solidFill>
                </w14:textFill>
              </w:rPr>
            </w:pPr>
            <w:r w:rsidRPr="004F74CD">
              <w:rPr>
                <w:rFonts w:asciiTheme="minorHAnsi" w:hAnsiTheme="minorHAnsi" w:cstheme="minorHAnsi"/>
                <w:b/>
                <w:bCs/>
                <w:sz w:val="20"/>
                <w:highlight w:val="yellow"/>
              </w:rPr>
              <w:t>Medium (3)</w:t>
            </w:r>
          </w:p>
        </w:tc>
        <w:tc>
          <w:tcPr>
            <w:tcW w:w="2063" w:type="dxa"/>
            <w:tcBorders>
              <w:top w:val="single" w:sz="4" w:space="0" w:color="auto"/>
              <w:left w:val="single" w:sz="4" w:space="0" w:color="auto"/>
              <w:bottom w:val="single" w:sz="4" w:space="0" w:color="auto"/>
              <w:right w:val="single" w:sz="4" w:space="0" w:color="auto"/>
            </w:tcBorders>
          </w:tcPr>
          <w:p w14:paraId="1E4BF49A" w14:textId="77777777" w:rsidR="00120597" w:rsidRPr="004F74CD" w:rsidRDefault="00120597">
            <w:pPr>
              <w:jc w:val="both"/>
              <w:rPr>
                <w:rFonts w:asciiTheme="minorHAnsi" w:hAnsiTheme="minorHAnsi" w:cstheme="minorHAnsi"/>
                <w:b/>
                <w:bCs/>
                <w:sz w:val="20"/>
              </w:rPr>
            </w:pPr>
          </w:p>
          <w:p w14:paraId="62F38904"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red"/>
              </w:rPr>
              <w:t>High (6)</w:t>
            </w:r>
          </w:p>
          <w:p w14:paraId="33DC4CD3" w14:textId="77777777" w:rsidR="00120597" w:rsidRPr="004F74CD" w:rsidRDefault="00120597">
            <w:pPr>
              <w:jc w:val="both"/>
              <w:rPr>
                <w:rFonts w:asciiTheme="minorHAnsi" w:hAnsiTheme="minorHAnsi" w:cstheme="minorHAnsi"/>
                <w:b/>
                <w:bCs/>
                <w:sz w:val="20"/>
              </w:rPr>
            </w:pPr>
          </w:p>
        </w:tc>
        <w:tc>
          <w:tcPr>
            <w:tcW w:w="2055" w:type="dxa"/>
            <w:tcBorders>
              <w:top w:val="single" w:sz="4" w:space="0" w:color="auto"/>
              <w:left w:val="single" w:sz="4" w:space="0" w:color="auto"/>
              <w:bottom w:val="single" w:sz="4" w:space="0" w:color="auto"/>
              <w:right w:val="single" w:sz="4" w:space="0" w:color="auto"/>
            </w:tcBorders>
          </w:tcPr>
          <w:p w14:paraId="257C037C" w14:textId="77777777" w:rsidR="00120597" w:rsidRPr="00120597" w:rsidRDefault="00120597">
            <w:pPr>
              <w:jc w:val="both"/>
              <w:rPr>
                <w:rFonts w:asciiTheme="minorHAnsi" w:hAnsiTheme="minorHAnsi" w:cstheme="minorHAnsi"/>
                <w:b/>
                <w:bCs/>
              </w:rPr>
            </w:pPr>
          </w:p>
          <w:p w14:paraId="219E74CE"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red"/>
              </w:rPr>
              <w:t>High (9)</w:t>
            </w:r>
          </w:p>
        </w:tc>
      </w:tr>
      <w:tr w:rsidR="00120597" w:rsidRPr="00120597" w14:paraId="5C189887" w14:textId="77777777" w:rsidTr="001205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AF408" w14:textId="77777777" w:rsidR="00120597" w:rsidRPr="004F74CD" w:rsidRDefault="00120597">
            <w:pPr>
              <w:rPr>
                <w:rFonts w:asciiTheme="minorHAnsi" w:hAnsiTheme="minorHAnsi" w:cstheme="minorHAnsi"/>
                <w:b/>
                <w:bCs/>
                <w:sz w:val="20"/>
              </w:rPr>
            </w:pPr>
          </w:p>
        </w:tc>
        <w:tc>
          <w:tcPr>
            <w:tcW w:w="2051" w:type="dxa"/>
            <w:tcBorders>
              <w:top w:val="single" w:sz="4" w:space="0" w:color="auto"/>
              <w:left w:val="single" w:sz="4" w:space="0" w:color="auto"/>
              <w:bottom w:val="single" w:sz="4" w:space="0" w:color="auto"/>
              <w:right w:val="single" w:sz="4" w:space="0" w:color="auto"/>
            </w:tcBorders>
          </w:tcPr>
          <w:p w14:paraId="6500C2CD" w14:textId="77777777" w:rsidR="00120597" w:rsidRPr="004F74CD" w:rsidRDefault="00120597">
            <w:pPr>
              <w:jc w:val="both"/>
              <w:rPr>
                <w:rFonts w:asciiTheme="minorHAnsi" w:hAnsiTheme="minorHAnsi" w:cstheme="minorHAnsi"/>
                <w:sz w:val="20"/>
              </w:rPr>
            </w:pPr>
          </w:p>
          <w:p w14:paraId="693E21E4"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Possible (2)</w:t>
            </w:r>
          </w:p>
        </w:tc>
        <w:tc>
          <w:tcPr>
            <w:tcW w:w="1799" w:type="dxa"/>
            <w:tcBorders>
              <w:top w:val="single" w:sz="4" w:space="0" w:color="auto"/>
              <w:left w:val="single" w:sz="4" w:space="0" w:color="auto"/>
              <w:bottom w:val="single" w:sz="4" w:space="0" w:color="auto"/>
              <w:right w:val="single" w:sz="4" w:space="0" w:color="auto"/>
            </w:tcBorders>
          </w:tcPr>
          <w:p w14:paraId="0FA7057E" w14:textId="77777777" w:rsidR="00120597" w:rsidRPr="004F74CD" w:rsidRDefault="00120597">
            <w:pPr>
              <w:jc w:val="both"/>
              <w:rPr>
                <w:rFonts w:asciiTheme="minorHAnsi" w:hAnsiTheme="minorHAnsi" w:cstheme="minorHAnsi"/>
                <w:b/>
                <w:bCs/>
                <w:sz w:val="20"/>
                <w:highlight w:val="green"/>
              </w:rPr>
            </w:pPr>
          </w:p>
          <w:p w14:paraId="158A6833" w14:textId="77777777" w:rsidR="00120597" w:rsidRPr="004F74CD" w:rsidRDefault="00120597">
            <w:pPr>
              <w:jc w:val="center"/>
              <w:rPr>
                <w:rFonts w:asciiTheme="minorHAnsi" w:hAnsiTheme="minorHAnsi" w:cstheme="minorHAnsi"/>
                <w:b/>
                <w:bCs/>
                <w:sz w:val="20"/>
                <w:highlight w:val="green"/>
              </w:rPr>
            </w:pPr>
            <w:r w:rsidRPr="004F74CD">
              <w:rPr>
                <w:rFonts w:asciiTheme="minorHAnsi" w:hAnsiTheme="minorHAnsi" w:cstheme="minorHAnsi"/>
                <w:b/>
                <w:bCs/>
                <w:sz w:val="20"/>
                <w:highlight w:val="green"/>
              </w:rPr>
              <w:t>Low (2)</w:t>
            </w:r>
          </w:p>
        </w:tc>
        <w:tc>
          <w:tcPr>
            <w:tcW w:w="2063" w:type="dxa"/>
            <w:tcBorders>
              <w:top w:val="single" w:sz="4" w:space="0" w:color="auto"/>
              <w:left w:val="single" w:sz="4" w:space="0" w:color="auto"/>
              <w:bottom w:val="single" w:sz="4" w:space="0" w:color="auto"/>
              <w:right w:val="single" w:sz="4" w:space="0" w:color="auto"/>
            </w:tcBorders>
          </w:tcPr>
          <w:p w14:paraId="79CC338E" w14:textId="77777777" w:rsidR="00120597" w:rsidRPr="004F74CD" w:rsidRDefault="00120597">
            <w:pPr>
              <w:jc w:val="both"/>
              <w:rPr>
                <w:rFonts w:asciiTheme="minorHAnsi" w:hAnsiTheme="minorHAnsi" w:cstheme="minorHAnsi"/>
                <w:b/>
                <w:bCs/>
                <w:sz w:val="20"/>
              </w:rPr>
            </w:pPr>
          </w:p>
          <w:p w14:paraId="29E2D648"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yellow"/>
              </w:rPr>
              <w:t>Medium (4)</w:t>
            </w:r>
          </w:p>
          <w:p w14:paraId="7E436032" w14:textId="77777777" w:rsidR="00120597" w:rsidRPr="004F74CD" w:rsidRDefault="00120597">
            <w:pPr>
              <w:jc w:val="both"/>
              <w:rPr>
                <w:rFonts w:asciiTheme="minorHAnsi" w:hAnsiTheme="minorHAnsi" w:cstheme="minorHAnsi"/>
                <w:b/>
                <w:bCs/>
                <w:sz w:val="20"/>
              </w:rPr>
            </w:pPr>
          </w:p>
        </w:tc>
        <w:tc>
          <w:tcPr>
            <w:tcW w:w="2055" w:type="dxa"/>
            <w:tcBorders>
              <w:top w:val="single" w:sz="4" w:space="0" w:color="auto"/>
              <w:left w:val="single" w:sz="4" w:space="0" w:color="auto"/>
              <w:bottom w:val="single" w:sz="4" w:space="0" w:color="auto"/>
              <w:right w:val="single" w:sz="4" w:space="0" w:color="auto"/>
            </w:tcBorders>
          </w:tcPr>
          <w:p w14:paraId="79CE4869" w14:textId="77777777" w:rsidR="00120597" w:rsidRPr="00120597" w:rsidRDefault="00120597">
            <w:pPr>
              <w:jc w:val="both"/>
              <w:rPr>
                <w:rFonts w:asciiTheme="minorHAnsi" w:hAnsiTheme="minorHAnsi" w:cstheme="minorHAnsi"/>
                <w:b/>
                <w:bCs/>
              </w:rPr>
            </w:pPr>
          </w:p>
          <w:p w14:paraId="79BCD3DC"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red"/>
              </w:rPr>
              <w:t>High (6)</w:t>
            </w:r>
          </w:p>
        </w:tc>
      </w:tr>
      <w:tr w:rsidR="00120597" w:rsidRPr="00120597" w14:paraId="38309810" w14:textId="77777777" w:rsidTr="001205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06BC1" w14:textId="77777777" w:rsidR="00120597" w:rsidRPr="004F74CD" w:rsidRDefault="00120597">
            <w:pPr>
              <w:rPr>
                <w:rFonts w:asciiTheme="minorHAnsi" w:hAnsiTheme="minorHAnsi" w:cstheme="minorHAnsi"/>
                <w:b/>
                <w:bCs/>
                <w:sz w:val="20"/>
              </w:rPr>
            </w:pPr>
          </w:p>
        </w:tc>
        <w:tc>
          <w:tcPr>
            <w:tcW w:w="2051" w:type="dxa"/>
            <w:tcBorders>
              <w:top w:val="single" w:sz="4" w:space="0" w:color="auto"/>
              <w:left w:val="single" w:sz="4" w:space="0" w:color="auto"/>
              <w:bottom w:val="single" w:sz="4" w:space="0" w:color="auto"/>
              <w:right w:val="single" w:sz="4" w:space="0" w:color="auto"/>
            </w:tcBorders>
          </w:tcPr>
          <w:p w14:paraId="4352967E" w14:textId="77777777" w:rsidR="00120597" w:rsidRPr="004F74CD" w:rsidRDefault="00120597">
            <w:pPr>
              <w:jc w:val="both"/>
              <w:rPr>
                <w:rFonts w:asciiTheme="minorHAnsi" w:hAnsiTheme="minorHAnsi" w:cstheme="minorHAnsi"/>
                <w:sz w:val="20"/>
              </w:rPr>
            </w:pPr>
          </w:p>
          <w:p w14:paraId="52642F46"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Unlikely (1)</w:t>
            </w:r>
          </w:p>
          <w:p w14:paraId="68765F8D" w14:textId="77777777" w:rsidR="00120597" w:rsidRPr="004F74CD" w:rsidRDefault="00120597">
            <w:pPr>
              <w:jc w:val="both"/>
              <w:rPr>
                <w:rFonts w:asciiTheme="minorHAnsi" w:hAnsiTheme="minorHAnsi" w:cstheme="minorHAnsi"/>
                <w:sz w:val="20"/>
              </w:rPr>
            </w:pPr>
          </w:p>
        </w:tc>
        <w:tc>
          <w:tcPr>
            <w:tcW w:w="1799" w:type="dxa"/>
            <w:tcBorders>
              <w:top w:val="single" w:sz="4" w:space="0" w:color="auto"/>
              <w:left w:val="single" w:sz="4" w:space="0" w:color="auto"/>
              <w:bottom w:val="single" w:sz="4" w:space="0" w:color="auto"/>
              <w:right w:val="single" w:sz="4" w:space="0" w:color="auto"/>
            </w:tcBorders>
          </w:tcPr>
          <w:p w14:paraId="203C9D3C" w14:textId="77777777" w:rsidR="00120597" w:rsidRPr="004F74CD" w:rsidRDefault="00120597">
            <w:pPr>
              <w:jc w:val="both"/>
              <w:rPr>
                <w:rFonts w:asciiTheme="minorHAnsi" w:hAnsiTheme="minorHAnsi" w:cstheme="minorHAnsi"/>
                <w:b/>
                <w:bCs/>
                <w:sz w:val="20"/>
              </w:rPr>
            </w:pPr>
          </w:p>
          <w:p w14:paraId="5068C7AF"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green"/>
              </w:rPr>
              <w:t>Low (1)</w:t>
            </w:r>
          </w:p>
        </w:tc>
        <w:tc>
          <w:tcPr>
            <w:tcW w:w="2063" w:type="dxa"/>
            <w:tcBorders>
              <w:top w:val="single" w:sz="4" w:space="0" w:color="auto"/>
              <w:left w:val="single" w:sz="4" w:space="0" w:color="auto"/>
              <w:bottom w:val="single" w:sz="4" w:space="0" w:color="auto"/>
              <w:right w:val="single" w:sz="4" w:space="0" w:color="auto"/>
            </w:tcBorders>
          </w:tcPr>
          <w:p w14:paraId="5EC169F3" w14:textId="77777777" w:rsidR="00120597" w:rsidRPr="004F74CD" w:rsidRDefault="00120597">
            <w:pPr>
              <w:jc w:val="both"/>
              <w:rPr>
                <w:rFonts w:asciiTheme="minorHAnsi" w:hAnsiTheme="minorHAnsi" w:cstheme="minorHAnsi"/>
                <w:b/>
                <w:bCs/>
                <w:sz w:val="20"/>
              </w:rPr>
            </w:pPr>
          </w:p>
          <w:p w14:paraId="3D0A8644"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green"/>
              </w:rPr>
              <w:t>Low (2)</w:t>
            </w:r>
          </w:p>
        </w:tc>
        <w:tc>
          <w:tcPr>
            <w:tcW w:w="2055" w:type="dxa"/>
            <w:tcBorders>
              <w:top w:val="single" w:sz="4" w:space="0" w:color="auto"/>
              <w:left w:val="single" w:sz="4" w:space="0" w:color="auto"/>
              <w:bottom w:val="single" w:sz="4" w:space="0" w:color="auto"/>
              <w:right w:val="single" w:sz="4" w:space="0" w:color="auto"/>
            </w:tcBorders>
          </w:tcPr>
          <w:p w14:paraId="57CDA343" w14:textId="77777777" w:rsidR="00120597" w:rsidRPr="00120597" w:rsidRDefault="00120597">
            <w:pPr>
              <w:jc w:val="both"/>
              <w:rPr>
                <w:rFonts w:asciiTheme="minorHAnsi" w:hAnsiTheme="minorHAnsi" w:cstheme="minorHAnsi"/>
                <w:b/>
                <w:bCs/>
              </w:rPr>
            </w:pPr>
          </w:p>
          <w:p w14:paraId="06FD22E6"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yellow"/>
              </w:rPr>
              <w:t>Medium (3)</w:t>
            </w:r>
          </w:p>
        </w:tc>
      </w:tr>
      <w:tr w:rsidR="00120597" w:rsidRPr="00120597" w14:paraId="18C12F1B" w14:textId="77777777" w:rsidTr="00120597">
        <w:trPr>
          <w:jc w:val="center"/>
        </w:trPr>
        <w:tc>
          <w:tcPr>
            <w:tcW w:w="0" w:type="auto"/>
            <w:gridSpan w:val="2"/>
            <w:vMerge w:val="restart"/>
            <w:tcBorders>
              <w:top w:val="single" w:sz="4" w:space="0" w:color="auto"/>
              <w:left w:val="nil"/>
              <w:bottom w:val="nil"/>
              <w:right w:val="single" w:sz="4" w:space="0" w:color="000000"/>
            </w:tcBorders>
            <w:vAlign w:val="center"/>
            <w:hideMark/>
          </w:tcPr>
          <w:p w14:paraId="7E0CD1F3" w14:textId="77777777" w:rsidR="00120597" w:rsidRPr="004F74CD" w:rsidRDefault="00120597">
            <w:pPr>
              <w:rPr>
                <w:rFonts w:asciiTheme="minorHAnsi" w:hAnsiTheme="minorHAnsi" w:cstheme="minorHAnsi"/>
                <w:sz w:val="20"/>
              </w:rPr>
            </w:pPr>
          </w:p>
        </w:tc>
        <w:tc>
          <w:tcPr>
            <w:tcW w:w="1799" w:type="dxa"/>
            <w:tcBorders>
              <w:top w:val="single" w:sz="4" w:space="0" w:color="auto"/>
              <w:left w:val="single" w:sz="4" w:space="0" w:color="000000"/>
              <w:bottom w:val="single" w:sz="4" w:space="0" w:color="auto"/>
              <w:right w:val="single" w:sz="4" w:space="0" w:color="auto"/>
            </w:tcBorders>
            <w:hideMark/>
          </w:tcPr>
          <w:p w14:paraId="4CDF5FA5" w14:textId="08E67081"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 xml:space="preserve">Negligible </w:t>
            </w:r>
            <w:r w:rsidR="002050DB">
              <w:rPr>
                <w:rFonts w:asciiTheme="minorHAnsi" w:hAnsiTheme="minorHAnsi" w:cstheme="minorHAnsi"/>
                <w:sz w:val="20"/>
              </w:rPr>
              <w:t xml:space="preserve">risk </w:t>
            </w:r>
            <w:r w:rsidRPr="004F74CD">
              <w:rPr>
                <w:rFonts w:asciiTheme="minorHAnsi" w:hAnsiTheme="minorHAnsi" w:cstheme="minorHAnsi"/>
                <w:sz w:val="20"/>
              </w:rPr>
              <w:t>(1)</w:t>
            </w:r>
          </w:p>
        </w:tc>
        <w:tc>
          <w:tcPr>
            <w:tcW w:w="2063" w:type="dxa"/>
            <w:tcBorders>
              <w:top w:val="single" w:sz="4" w:space="0" w:color="auto"/>
              <w:left w:val="single" w:sz="4" w:space="0" w:color="auto"/>
              <w:bottom w:val="single" w:sz="4" w:space="0" w:color="auto"/>
              <w:right w:val="single" w:sz="4" w:space="0" w:color="auto"/>
            </w:tcBorders>
            <w:hideMark/>
          </w:tcPr>
          <w:p w14:paraId="30652D43" w14:textId="16D8952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 xml:space="preserve">Moderate </w:t>
            </w:r>
            <w:r w:rsidR="002050DB">
              <w:rPr>
                <w:rFonts w:asciiTheme="minorHAnsi" w:hAnsiTheme="minorHAnsi" w:cstheme="minorHAnsi"/>
                <w:sz w:val="20"/>
              </w:rPr>
              <w:t xml:space="preserve">risk </w:t>
            </w:r>
            <w:r w:rsidRPr="004F74CD">
              <w:rPr>
                <w:rFonts w:asciiTheme="minorHAnsi" w:hAnsiTheme="minorHAnsi" w:cstheme="minorHAnsi"/>
                <w:sz w:val="20"/>
              </w:rPr>
              <w:t>(2)</w:t>
            </w:r>
          </w:p>
        </w:tc>
        <w:tc>
          <w:tcPr>
            <w:tcW w:w="2055" w:type="dxa"/>
            <w:tcBorders>
              <w:top w:val="single" w:sz="4" w:space="0" w:color="auto"/>
              <w:left w:val="single" w:sz="4" w:space="0" w:color="auto"/>
              <w:bottom w:val="single" w:sz="4" w:space="0" w:color="auto"/>
              <w:right w:val="single" w:sz="4" w:space="0" w:color="auto"/>
            </w:tcBorders>
            <w:hideMark/>
          </w:tcPr>
          <w:p w14:paraId="34862188" w14:textId="4D4637F5" w:rsidR="00120597" w:rsidRPr="002050DB" w:rsidRDefault="00120597">
            <w:pPr>
              <w:jc w:val="both"/>
              <w:rPr>
                <w:rFonts w:asciiTheme="minorHAnsi" w:hAnsiTheme="minorHAnsi" w:cstheme="minorHAnsi"/>
                <w:sz w:val="20"/>
              </w:rPr>
            </w:pPr>
            <w:r w:rsidRPr="002050DB">
              <w:rPr>
                <w:rFonts w:asciiTheme="minorHAnsi" w:hAnsiTheme="minorHAnsi" w:cstheme="minorHAnsi"/>
                <w:sz w:val="20"/>
              </w:rPr>
              <w:t xml:space="preserve">Severe </w:t>
            </w:r>
            <w:r w:rsidR="002050DB" w:rsidRPr="002050DB">
              <w:rPr>
                <w:rFonts w:asciiTheme="minorHAnsi" w:hAnsiTheme="minorHAnsi" w:cstheme="minorHAnsi"/>
                <w:sz w:val="20"/>
              </w:rPr>
              <w:t xml:space="preserve">risk </w:t>
            </w:r>
            <w:r w:rsidRPr="002050DB">
              <w:rPr>
                <w:rFonts w:asciiTheme="minorHAnsi" w:hAnsiTheme="minorHAnsi" w:cstheme="minorHAnsi"/>
                <w:sz w:val="20"/>
              </w:rPr>
              <w:t>(3)</w:t>
            </w:r>
          </w:p>
        </w:tc>
      </w:tr>
      <w:tr w:rsidR="00120597" w:rsidRPr="00120597" w14:paraId="03735419" w14:textId="77777777" w:rsidTr="00120597">
        <w:trPr>
          <w:jc w:val="center"/>
        </w:trPr>
        <w:tc>
          <w:tcPr>
            <w:tcW w:w="0" w:type="auto"/>
            <w:gridSpan w:val="2"/>
            <w:vMerge/>
            <w:tcBorders>
              <w:top w:val="single" w:sz="4" w:space="0" w:color="auto"/>
              <w:left w:val="nil"/>
              <w:bottom w:val="nil"/>
              <w:right w:val="single" w:sz="4" w:space="0" w:color="000000"/>
            </w:tcBorders>
            <w:vAlign w:val="center"/>
            <w:hideMark/>
          </w:tcPr>
          <w:p w14:paraId="4638EA56" w14:textId="77777777" w:rsidR="00120597" w:rsidRPr="004F74CD" w:rsidRDefault="00120597">
            <w:pPr>
              <w:rPr>
                <w:rFonts w:asciiTheme="minorHAnsi" w:hAnsiTheme="minorHAnsi" w:cstheme="minorHAnsi"/>
                <w:sz w:val="20"/>
              </w:rPr>
            </w:pPr>
          </w:p>
        </w:tc>
        <w:tc>
          <w:tcPr>
            <w:tcW w:w="5917" w:type="dxa"/>
            <w:gridSpan w:val="3"/>
            <w:tcBorders>
              <w:top w:val="single" w:sz="4" w:space="0" w:color="auto"/>
              <w:left w:val="single" w:sz="4" w:space="0" w:color="000000"/>
              <w:bottom w:val="single" w:sz="4" w:space="0" w:color="auto"/>
              <w:right w:val="single" w:sz="4" w:space="0" w:color="auto"/>
            </w:tcBorders>
            <w:hideMark/>
          </w:tcPr>
          <w:p w14:paraId="1082C2AE"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rPr>
              <w:t>Impact</w:t>
            </w:r>
          </w:p>
        </w:tc>
      </w:tr>
    </w:tbl>
    <w:p w14:paraId="593C238E" w14:textId="77777777" w:rsidR="00120597" w:rsidRPr="00120597" w:rsidRDefault="00120597" w:rsidP="00120597">
      <w:pPr>
        <w:jc w:val="both"/>
        <w:rPr>
          <w:rFonts w:asciiTheme="minorHAnsi" w:hAnsiTheme="minorHAnsi" w:cstheme="minorHAnsi"/>
          <w:b/>
          <w:bCs/>
          <w:sz w:val="22"/>
          <w:szCs w:val="22"/>
        </w:rPr>
      </w:pPr>
    </w:p>
    <w:p w14:paraId="732CD2F4" w14:textId="2800A320" w:rsidR="00120597" w:rsidRDefault="00120597" w:rsidP="00120597">
      <w:pPr>
        <w:jc w:val="both"/>
        <w:rPr>
          <w:rFonts w:asciiTheme="minorHAnsi" w:hAnsiTheme="minorHAnsi" w:cstheme="minorHAnsi"/>
          <w:sz w:val="22"/>
          <w:szCs w:val="22"/>
        </w:rPr>
      </w:pPr>
      <w:r w:rsidRPr="00120597">
        <w:rPr>
          <w:rFonts w:asciiTheme="minorHAnsi" w:hAnsiTheme="minorHAnsi" w:cstheme="minorHAnsi"/>
        </w:rPr>
        <w:t xml:space="preserve">Thus, a minor accountancy error of £1 may be possible but the impact would be negligible giving a score of (2) and would require informal action to ascertain the cause. However, a case of fraud in poorly managed accountancy systems may be highly likely, would have a severe financial and reputational impact giving a score of (9), and would require urgent multiagency intervention and remedial action. This matrix is expanded in the Risk </w:t>
      </w:r>
      <w:r w:rsidRPr="002D4200">
        <w:rPr>
          <w:rFonts w:asciiTheme="minorHAnsi" w:hAnsiTheme="minorHAnsi" w:cstheme="minorHAnsi"/>
          <w:b/>
          <w:bCs/>
        </w:rPr>
        <w:t>Management Register (Appendix 1)</w:t>
      </w:r>
      <w:r w:rsidRPr="00120597">
        <w:rPr>
          <w:rFonts w:asciiTheme="minorHAnsi" w:hAnsiTheme="minorHAnsi" w:cstheme="minorHAnsi"/>
        </w:rPr>
        <w:t xml:space="preserve"> in conjunction with the councils </w:t>
      </w:r>
      <w:r w:rsidRPr="00120597">
        <w:rPr>
          <w:rFonts w:asciiTheme="minorHAnsi" w:hAnsiTheme="minorHAnsi" w:cstheme="minorHAnsi"/>
          <w:b/>
          <w:bCs/>
        </w:rPr>
        <w:t>Financial Regulations (2019)</w:t>
      </w:r>
      <w:r w:rsidRPr="00120597">
        <w:rPr>
          <w:rFonts w:asciiTheme="minorHAnsi" w:hAnsiTheme="minorHAnsi" w:cstheme="minorHAnsi"/>
          <w:b/>
          <w:bCs/>
          <w:sz w:val="16"/>
          <w:szCs w:val="16"/>
        </w:rPr>
        <w:t xml:space="preserve"> </w:t>
      </w:r>
      <w:r w:rsidRPr="00120597">
        <w:rPr>
          <w:rFonts w:asciiTheme="minorHAnsi" w:hAnsiTheme="minorHAnsi" w:cstheme="minorHAnsi"/>
        </w:rPr>
        <w:t>and</w:t>
      </w:r>
      <w:r w:rsidRPr="00120597">
        <w:rPr>
          <w:rFonts w:asciiTheme="minorHAnsi" w:hAnsiTheme="minorHAnsi" w:cstheme="minorHAnsi"/>
          <w:b/>
          <w:bCs/>
        </w:rPr>
        <w:t xml:space="preserve"> Standing Orders (20</w:t>
      </w:r>
      <w:r w:rsidR="002D4200">
        <w:rPr>
          <w:rFonts w:asciiTheme="minorHAnsi" w:hAnsiTheme="minorHAnsi" w:cstheme="minorHAnsi"/>
          <w:b/>
          <w:bCs/>
        </w:rPr>
        <w:t>22</w:t>
      </w:r>
      <w:r w:rsidRPr="00120597">
        <w:rPr>
          <w:rFonts w:asciiTheme="minorHAnsi" w:hAnsiTheme="minorHAnsi" w:cstheme="minorHAnsi"/>
          <w:b/>
          <w:bCs/>
        </w:rPr>
        <w:t>)</w:t>
      </w:r>
      <w:r w:rsidRPr="00120597">
        <w:rPr>
          <w:rFonts w:asciiTheme="minorHAnsi" w:hAnsiTheme="minorHAnsi" w:cstheme="minorHAnsi"/>
          <w:sz w:val="16"/>
          <w:szCs w:val="16"/>
        </w:rPr>
        <w:t xml:space="preserve"> </w:t>
      </w:r>
      <w:r w:rsidRPr="00120597">
        <w:rPr>
          <w:rFonts w:asciiTheme="minorHAnsi" w:hAnsiTheme="minorHAnsi" w:cstheme="minorHAnsi"/>
          <w:sz w:val="22"/>
          <w:szCs w:val="22"/>
        </w:rPr>
        <w:t>to manage the main risk categories</w:t>
      </w:r>
      <w:r w:rsidR="002D4200">
        <w:rPr>
          <w:rFonts w:asciiTheme="minorHAnsi" w:hAnsiTheme="minorHAnsi" w:cstheme="minorHAnsi"/>
          <w:sz w:val="22"/>
          <w:szCs w:val="22"/>
        </w:rPr>
        <w:t>.</w:t>
      </w:r>
    </w:p>
    <w:p w14:paraId="3B7EC83C" w14:textId="77777777" w:rsidR="002050DB" w:rsidRDefault="002050DB" w:rsidP="00120597">
      <w:pPr>
        <w:jc w:val="both"/>
        <w:rPr>
          <w:rFonts w:asciiTheme="minorHAnsi" w:hAnsiTheme="minorHAnsi" w:cstheme="minorHAnsi"/>
          <w:sz w:val="22"/>
          <w:szCs w:val="22"/>
        </w:rPr>
      </w:pPr>
    </w:p>
    <w:p w14:paraId="1429C7AB" w14:textId="16DCCFA3" w:rsidR="002D4200" w:rsidRPr="00607CCF" w:rsidRDefault="002D4200" w:rsidP="00120597">
      <w:pPr>
        <w:jc w:val="both"/>
        <w:rPr>
          <w:rFonts w:asciiTheme="minorHAnsi" w:hAnsiTheme="minorHAnsi" w:cstheme="minorHAnsi"/>
          <w:sz w:val="18"/>
          <w:szCs w:val="18"/>
        </w:rPr>
      </w:pPr>
      <w:r w:rsidRPr="00607CCF">
        <w:rPr>
          <w:rFonts w:asciiTheme="minorHAnsi" w:hAnsiTheme="minorHAnsi" w:cstheme="minorHAnsi"/>
          <w:sz w:val="18"/>
          <w:szCs w:val="18"/>
        </w:rPr>
        <w:t>WPC/</w:t>
      </w:r>
      <w:proofErr w:type="spellStart"/>
      <w:r w:rsidRPr="00607CCF">
        <w:rPr>
          <w:rFonts w:asciiTheme="minorHAnsi" w:hAnsiTheme="minorHAnsi" w:cstheme="minorHAnsi"/>
          <w:sz w:val="18"/>
          <w:szCs w:val="18"/>
        </w:rPr>
        <w:t>asm</w:t>
      </w:r>
      <w:proofErr w:type="spellEnd"/>
      <w:r w:rsidRPr="00607CCF">
        <w:rPr>
          <w:rFonts w:asciiTheme="minorHAnsi" w:hAnsiTheme="minorHAnsi" w:cstheme="minorHAnsi"/>
          <w:sz w:val="18"/>
          <w:szCs w:val="18"/>
        </w:rPr>
        <w:t>/</w:t>
      </w:r>
      <w:r w:rsidR="002050DB" w:rsidRPr="00607CCF">
        <w:rPr>
          <w:rFonts w:asciiTheme="minorHAnsi" w:hAnsiTheme="minorHAnsi" w:cstheme="minorHAnsi"/>
          <w:sz w:val="18"/>
          <w:szCs w:val="18"/>
        </w:rPr>
        <w:t>14:02:2022</w:t>
      </w:r>
    </w:p>
    <w:sectPr w:rsidR="002D4200" w:rsidRPr="00607C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F1818"/>
    <w:multiLevelType w:val="hybridMultilevel"/>
    <w:tmpl w:val="1292ADF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0597"/>
    <w:rsid w:val="00013638"/>
    <w:rsid w:val="00120597"/>
    <w:rsid w:val="002050DB"/>
    <w:rsid w:val="00250494"/>
    <w:rsid w:val="002D4200"/>
    <w:rsid w:val="004F74CD"/>
    <w:rsid w:val="00607CCF"/>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EE077"/>
  <w15:chartTrackingRefBased/>
  <w15:docId w15:val="{DC1E29F3-C1BA-4C2B-97C7-B163DF37D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597"/>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597"/>
    <w:pPr>
      <w:ind w:left="720"/>
      <w:contextualSpacing/>
    </w:pPr>
  </w:style>
  <w:style w:type="table" w:styleId="TableGrid">
    <w:name w:val="Table Grid"/>
    <w:basedOn w:val="TableNormal"/>
    <w:uiPriority w:val="59"/>
    <w:rsid w:val="001205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4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2022-02-14T16:10:00Z</dcterms:created>
  <dcterms:modified xsi:type="dcterms:W3CDTF">2022-02-14T16:10:00Z</dcterms:modified>
</cp:coreProperties>
</file>